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STŘEDNĚDOBÝ VÝHLED ROZPOČTU OBEC MAŽICE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na rok   2018, 2019, 2020, 2021, 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1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35"/>
        <w:gridCol w:w="1535"/>
        <w:gridCol w:w="1534"/>
        <w:gridCol w:w="1537"/>
        <w:gridCol w:w="1536"/>
        <w:gridCol w:w="1535"/>
      </w:tblGrid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V Kč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2022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daňové příjmy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1 800 000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1 800 000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1 805 000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1 805 000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1 805 000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nedaňové příjmy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132 000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132 000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132 000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132 000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133 000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kapitálové příjmy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transfery</w:t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55 000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55 000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55 000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55 000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55 000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příjmy celkem</w:t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1 988 000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1 988 000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1 993 000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1 993 000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1 994 000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kapitálové výd.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běžné výdaje</w:t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b/>
              </w:rPr>
              <w:t>1 988 000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b/>
              </w:rPr>
              <w:t>1 988 000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b/>
              </w:rPr>
              <w:t>1 993 000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1 993 000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1 994 000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1 988 000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1 988 000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1 993 000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1 993 000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>
                <w:b/>
                <w:b/>
              </w:rPr>
            </w:pPr>
            <w:r>
              <w:rPr>
                <w:b/>
              </w:rPr>
              <w:t>1 994 000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úhrada splátky úvěru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125 040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125 040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125 040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125 040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/>
              <w:rPr/>
            </w:pPr>
            <w:r>
              <w:rPr/>
              <w:t>125 040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Plánovaný schodek bude uhrazen z dotace, finančních prostředků minulých let a úvěrem, který si Obec Mažice vzala dne 6.6.2016 . Bude splácen od 31.8.2016  do 31.7. 2024 ve výši 10 420,- Kč  měsíčně.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Zpracoval: Janů – účetní, správce rozpočtu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Starosta, příkazce : J. Kubíček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Cs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296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bCs w:val="false"/>
      <w:color w:val="auto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LibreOffice/5.1.4.2$Windows_x86 LibreOffice_project/f99d75f39f1c57ebdd7ffc5f42867c12031db97a</Application>
  <Pages>1</Pages>
  <Words>131</Words>
  <CharactersWithSpaces>778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2017-08-21T10:56:00Z</dcterms:created>
  <dc:creator>OU-Prehorov</dc:creator>
  <dc:description/>
  <dc:language>cs-CZ</dc:language>
  <cp:lastModifiedBy/>
  <cp:lastPrinted>2017-09-11T14:55:00Z</cp:lastPrinted>
  <dcterms:modified xsi:type="dcterms:W3CDTF">2018-02-21T08:24:12Z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